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宋体"/>
          <w:b/>
          <w:bCs/>
          <w:kern w:val="0"/>
          <w:szCs w:val="21"/>
        </w:rPr>
      </w:pPr>
      <w:bookmarkStart w:id="0" w:name="_GoBack"/>
      <w:bookmarkEnd w:id="0"/>
      <w:r>
        <w:rPr>
          <w:rFonts w:hint="eastAsia" w:cs="宋体"/>
          <w:b/>
          <w:szCs w:val="21"/>
        </w:rPr>
        <w:t>附件4</w:t>
      </w:r>
    </w:p>
    <w:p>
      <w:pPr>
        <w:widowControl/>
        <w:jc w:val="left"/>
      </w:pPr>
      <w:r>
        <w:rPr>
          <w:rFonts w:hint="eastAsia" w:cs="宋体"/>
          <w:b/>
          <w:szCs w:val="21"/>
        </w:rPr>
        <w:t>附件4-1</w:t>
      </w:r>
    </w:p>
    <w:p>
      <w:pPr>
        <w:jc w:val="center"/>
        <w:rPr>
          <w:rFonts w:ascii="宋体" w:hAnsi="宋体" w:cs="宋体"/>
          <w:bCs/>
          <w:kern w:val="0"/>
          <w:sz w:val="40"/>
          <w:szCs w:val="40"/>
        </w:rPr>
      </w:pPr>
      <w:r>
        <w:rPr>
          <w:rFonts w:hint="eastAsia" w:ascii="宋体" w:hAnsi="宋体" w:cs="宋体"/>
          <w:bCs/>
          <w:kern w:val="0"/>
          <w:sz w:val="40"/>
          <w:szCs w:val="40"/>
        </w:rPr>
        <w:t>2018年佛山市工程造价咨询企业执业质量检查评分标准及评分记录</w:t>
      </w:r>
    </w:p>
    <w:p>
      <w:pPr>
        <w:jc w:val="left"/>
        <w:rPr>
          <w:rFonts w:ascii="宋体" w:hAnsi="宋体" w:cs="宋体"/>
          <w:kern w:val="0"/>
          <w:sz w:val="20"/>
          <w:szCs w:val="20"/>
        </w:rPr>
      </w:pPr>
      <w:r>
        <w:rPr>
          <w:rFonts w:hint="eastAsia" w:ascii="宋体" w:hAnsi="宋体" w:cs="宋体"/>
          <w:kern w:val="0"/>
          <w:sz w:val="20"/>
          <w:szCs w:val="20"/>
        </w:rPr>
        <w:t>工程造价咨询企业名称：                                             项目名称：</w:t>
      </w:r>
    </w:p>
    <w:tbl>
      <w:tblPr>
        <w:tblStyle w:val="11"/>
        <w:tblW w:w="1555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9"/>
        <w:gridCol w:w="915"/>
        <w:gridCol w:w="4731"/>
        <w:gridCol w:w="706"/>
        <w:gridCol w:w="5392"/>
        <w:gridCol w:w="1116"/>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2" w:hRule="atLeast"/>
        </w:trPr>
        <w:tc>
          <w:tcPr>
            <w:tcW w:w="12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bCs/>
                <w:kern w:val="0"/>
                <w:sz w:val="20"/>
                <w:szCs w:val="20"/>
              </w:rPr>
              <w:t>阶段</w:t>
            </w:r>
          </w:p>
        </w:tc>
        <w:tc>
          <w:tcPr>
            <w:tcW w:w="9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考评</w:t>
            </w:r>
          </w:p>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内容</w:t>
            </w:r>
          </w:p>
        </w:tc>
        <w:tc>
          <w:tcPr>
            <w:tcW w:w="4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考评标准</w:t>
            </w: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分值</w:t>
            </w:r>
          </w:p>
        </w:tc>
        <w:tc>
          <w:tcPr>
            <w:tcW w:w="53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扣分标准</w:t>
            </w:r>
          </w:p>
        </w:tc>
        <w:tc>
          <w:tcPr>
            <w:tcW w:w="111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扣分</w:t>
            </w:r>
          </w:p>
        </w:tc>
        <w:tc>
          <w:tcPr>
            <w:tcW w:w="14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trPr>
        <w:tc>
          <w:tcPr>
            <w:tcW w:w="12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准备</w:t>
            </w:r>
          </w:p>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阶段</w:t>
            </w:r>
          </w:p>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（15分）</w:t>
            </w:r>
          </w:p>
        </w:tc>
        <w:tc>
          <w:tcPr>
            <w:tcW w:w="915" w:type="dxa"/>
            <w:vMerge w:val="restart"/>
            <w:tcBorders>
              <w:top w:val="nil"/>
              <w:left w:val="nil"/>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任务</w:t>
            </w:r>
          </w:p>
          <w:p>
            <w:pPr>
              <w:widowControl/>
              <w:spacing w:line="240" w:lineRule="exact"/>
              <w:jc w:val="center"/>
              <w:rPr>
                <w:rFonts w:ascii="宋体" w:hAnsi="宋体" w:cs="宋体"/>
                <w:kern w:val="0"/>
                <w:sz w:val="20"/>
                <w:szCs w:val="20"/>
              </w:rPr>
            </w:pPr>
            <w:r>
              <w:rPr>
                <w:rFonts w:hint="eastAsia" w:ascii="宋体" w:hAnsi="宋体" w:cs="宋体"/>
                <w:kern w:val="0"/>
                <w:sz w:val="20"/>
                <w:szCs w:val="20"/>
              </w:rPr>
              <w:t>需求</w:t>
            </w:r>
          </w:p>
        </w:tc>
        <w:tc>
          <w:tcPr>
            <w:tcW w:w="473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咨询合同有无明确服务内容</w:t>
            </w:r>
          </w:p>
        </w:tc>
        <w:tc>
          <w:tcPr>
            <w:tcW w:w="706" w:type="dxa"/>
            <w:tcBorders>
              <w:top w:val="nil"/>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392"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没有明确的扣5分</w:t>
            </w:r>
          </w:p>
        </w:tc>
        <w:tc>
          <w:tcPr>
            <w:tcW w:w="1116" w:type="dxa"/>
            <w:tcBorders>
              <w:top w:val="nil"/>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　</w:t>
            </w:r>
          </w:p>
        </w:tc>
        <w:tc>
          <w:tcPr>
            <w:tcW w:w="1476" w:type="dxa"/>
            <w:tcBorders>
              <w:top w:val="nil"/>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7" w:hRule="atLeast"/>
        </w:trPr>
        <w:tc>
          <w:tcPr>
            <w:tcW w:w="121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Cs/>
                <w:kern w:val="0"/>
                <w:sz w:val="20"/>
                <w:szCs w:val="20"/>
              </w:rPr>
            </w:pPr>
          </w:p>
        </w:tc>
        <w:tc>
          <w:tcPr>
            <w:tcW w:w="915"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4731" w:type="dxa"/>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编制说明是否列全编制依据，依据缺乏的是否有证据</w:t>
            </w:r>
          </w:p>
        </w:tc>
        <w:tc>
          <w:tcPr>
            <w:tcW w:w="706" w:type="dxa"/>
            <w:tcBorders>
              <w:top w:val="nil"/>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10分</w:t>
            </w:r>
          </w:p>
        </w:tc>
        <w:tc>
          <w:tcPr>
            <w:tcW w:w="5392"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不符合的扣5分，扣完为止</w:t>
            </w:r>
          </w:p>
        </w:tc>
        <w:tc>
          <w:tcPr>
            <w:tcW w:w="1116" w:type="dxa"/>
            <w:tcBorders>
              <w:top w:val="nil"/>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　</w:t>
            </w:r>
          </w:p>
        </w:tc>
        <w:tc>
          <w:tcPr>
            <w:tcW w:w="1476" w:type="dxa"/>
            <w:tcBorders>
              <w:top w:val="nil"/>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21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实施</w:t>
            </w:r>
            <w:r>
              <w:rPr>
                <w:rFonts w:hint="eastAsia" w:ascii="宋体" w:hAnsi="宋体" w:cs="宋体"/>
                <w:bCs/>
                <w:kern w:val="0"/>
                <w:sz w:val="20"/>
                <w:szCs w:val="20"/>
              </w:rPr>
              <w:br w:type="textWrapping"/>
            </w:r>
            <w:r>
              <w:rPr>
                <w:rFonts w:hint="eastAsia" w:ascii="宋体" w:hAnsi="宋体" w:cs="宋体"/>
                <w:bCs/>
                <w:kern w:val="0"/>
                <w:sz w:val="20"/>
                <w:szCs w:val="20"/>
              </w:rPr>
              <w:t>阶段</w:t>
            </w:r>
          </w:p>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（70分）</w:t>
            </w:r>
          </w:p>
        </w:tc>
        <w:tc>
          <w:tcPr>
            <w:tcW w:w="91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成果文件签认</w:t>
            </w:r>
          </w:p>
        </w:tc>
        <w:tc>
          <w:tcPr>
            <w:tcW w:w="47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是否加盖所在企业执业印章、法定代表人或授权人是否签章</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不齐全的扣5分</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6" w:hRule="atLeast"/>
        </w:trPr>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Cs/>
                <w:kern w:val="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47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编制、复核和审核签字（手签）盖章（执业章）是否齐全，是否符合要求</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不齐全的扣5分</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Cs/>
                <w:kern w:val="0"/>
                <w:sz w:val="20"/>
                <w:szCs w:val="20"/>
              </w:rPr>
            </w:pPr>
          </w:p>
        </w:tc>
        <w:tc>
          <w:tcPr>
            <w:tcW w:w="915" w:type="dxa"/>
            <w:vMerge w:val="restart"/>
            <w:tcBorders>
              <w:top w:val="single" w:color="auto" w:sz="4" w:space="0"/>
              <w:left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预算价或招标控制价</w:t>
            </w:r>
          </w:p>
        </w:tc>
        <w:tc>
          <w:tcPr>
            <w:tcW w:w="47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工程量清单项目编码、项目名称、项目特征、计量单位和工程量要素是否齐全正确。</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8分</w:t>
            </w:r>
          </w:p>
        </w:tc>
        <w:tc>
          <w:tcPr>
            <w:tcW w:w="5392"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2" w:hRule="atLeast"/>
        </w:trPr>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Cs/>
                <w:kern w:val="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47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工程量清单项目特征描述是否符合招标文件、清单规范、现行计价规范等要求</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12分</w:t>
            </w:r>
          </w:p>
        </w:tc>
        <w:tc>
          <w:tcPr>
            <w:tcW w:w="5392"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Cs/>
                <w:kern w:val="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47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工程量清单工程量及定额子目工程量是否存在明显错误</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10分</w:t>
            </w:r>
          </w:p>
        </w:tc>
        <w:tc>
          <w:tcPr>
            <w:tcW w:w="5392"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4" w:hRule="atLeast"/>
        </w:trPr>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Cs/>
                <w:kern w:val="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47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措施项目清单列项是否符合招标文件、清单规范、现行计价规范等要求；措施项目费是否漏项或重复计算；计价是否合理</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10分</w:t>
            </w:r>
          </w:p>
        </w:tc>
        <w:tc>
          <w:tcPr>
            <w:tcW w:w="5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76"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6" w:hRule="atLeast"/>
        </w:trPr>
        <w:tc>
          <w:tcPr>
            <w:tcW w:w="12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bCs/>
                <w:kern w:val="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20"/>
                <w:szCs w:val="20"/>
              </w:rPr>
            </w:pPr>
          </w:p>
        </w:tc>
        <w:tc>
          <w:tcPr>
            <w:tcW w:w="47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国有工程材料价是否依据《佛山工程造价信息》发布的材料综合价格；对信息价中没有的材料设备是否有询价记录，所询价格是否严重偏离市场情况</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0"/>
                <w:szCs w:val="20"/>
              </w:rPr>
            </w:pPr>
            <w:r>
              <w:rPr>
                <w:rFonts w:hint="eastAsia" w:ascii="宋体" w:hAnsi="宋体" w:cs="宋体"/>
                <w:kern w:val="0"/>
                <w:sz w:val="20"/>
                <w:szCs w:val="20"/>
              </w:rPr>
              <w:t>发现第一处不按规定的扣1分，从第二处开始每处扣0.5分，扣完为止</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76"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2" w:hRule="atLeast"/>
        </w:trPr>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Cs/>
                <w:kern w:val="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47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定额套项、取费程序、取费费率、工程量与取费统计汇总是否正确</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12分</w:t>
            </w:r>
          </w:p>
        </w:tc>
        <w:tc>
          <w:tcPr>
            <w:tcW w:w="5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0"/>
                <w:szCs w:val="20"/>
              </w:rPr>
            </w:pPr>
            <w:r>
              <w:rPr>
                <w:rFonts w:hint="eastAsia" w:ascii="宋体" w:hAnsi="宋体" w:cs="宋体"/>
                <w:kern w:val="0"/>
                <w:sz w:val="20"/>
                <w:szCs w:val="20"/>
              </w:rPr>
              <w:t>发现第一处不合理的扣1分，从第二处开始每处扣0.5分，扣完为止</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76"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Cs/>
                <w:kern w:val="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47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暂列金额、暂估价、总承包服务费、履约担保手续费是否按照招标文件及有关规定进行估算</w:t>
            </w:r>
          </w:p>
          <w:p>
            <w:pPr>
              <w:widowControl/>
              <w:spacing w:line="240" w:lineRule="exact"/>
              <w:jc w:val="left"/>
              <w:rPr>
                <w:rFonts w:ascii="宋体" w:hAnsi="宋体" w:cs="宋体"/>
                <w:color w:val="000000" w:themeColor="text1"/>
                <w:kern w:val="0"/>
                <w:sz w:val="20"/>
                <w:szCs w:val="20"/>
              </w:rPr>
            </w:pP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3分</w:t>
            </w:r>
          </w:p>
        </w:tc>
        <w:tc>
          <w:tcPr>
            <w:tcW w:w="5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0"/>
                <w:szCs w:val="20"/>
              </w:rPr>
            </w:pPr>
            <w:r>
              <w:rPr>
                <w:rFonts w:hint="eastAsia" w:ascii="宋体" w:hAnsi="宋体" w:cs="宋体"/>
                <w:kern w:val="0"/>
                <w:sz w:val="20"/>
                <w:szCs w:val="20"/>
              </w:rPr>
              <w:t>发现第一处不按规定的扣1分，从第二处开始每处扣0.5分，扣完为止</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bl>
    <w:p>
      <w:pPr>
        <w:jc w:val="left"/>
        <w:rPr>
          <w:rFonts w:ascii="宋体" w:hAnsi="宋体" w:cs="宋体"/>
          <w:kern w:val="0"/>
          <w:sz w:val="20"/>
          <w:szCs w:val="20"/>
        </w:rPr>
      </w:pPr>
    </w:p>
    <w:p>
      <w:pPr>
        <w:widowControl/>
        <w:jc w:val="center"/>
        <w:rPr>
          <w:rFonts w:ascii="宋体" w:hAnsi="宋体" w:cs="宋体"/>
          <w:bCs/>
          <w:kern w:val="0"/>
          <w:sz w:val="40"/>
          <w:szCs w:val="40"/>
        </w:rPr>
      </w:pPr>
      <w:r>
        <w:rPr>
          <w:rFonts w:hint="eastAsia" w:ascii="宋体" w:hAnsi="宋体" w:cs="宋体"/>
          <w:bCs/>
          <w:kern w:val="0"/>
          <w:sz w:val="40"/>
          <w:szCs w:val="40"/>
        </w:rPr>
        <w:t>2018年佛山市工程造价咨询企业执业质量检查评分标准及评分记录</w:t>
      </w:r>
    </w:p>
    <w:tbl>
      <w:tblPr>
        <w:tblStyle w:val="11"/>
        <w:tblW w:w="1562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9"/>
        <w:gridCol w:w="794"/>
        <w:gridCol w:w="982"/>
        <w:gridCol w:w="4221"/>
        <w:gridCol w:w="709"/>
        <w:gridCol w:w="5416"/>
        <w:gridCol w:w="1121"/>
        <w:gridCol w:w="1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8" w:hRule="atLeast"/>
        </w:trPr>
        <w:tc>
          <w:tcPr>
            <w:tcW w:w="899"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bCs/>
                <w:kern w:val="0"/>
                <w:sz w:val="20"/>
                <w:szCs w:val="20"/>
              </w:rPr>
              <w:t>阶段</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考评</w:t>
            </w:r>
          </w:p>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内容</w:t>
            </w:r>
          </w:p>
        </w:tc>
        <w:tc>
          <w:tcPr>
            <w:tcW w:w="520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考评标准</w:t>
            </w:r>
          </w:p>
        </w:tc>
        <w:tc>
          <w:tcPr>
            <w:tcW w:w="709" w:type="dxa"/>
            <w:tcBorders>
              <w:top w:val="single" w:color="auto" w:sz="4" w:space="0"/>
              <w:left w:val="nil"/>
              <w:bottom w:val="single" w:color="auto" w:sz="4" w:space="0"/>
              <w:right w:val="nil"/>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分值</w:t>
            </w:r>
          </w:p>
        </w:tc>
        <w:tc>
          <w:tcPr>
            <w:tcW w:w="54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扣分标准</w:t>
            </w:r>
          </w:p>
        </w:tc>
        <w:tc>
          <w:tcPr>
            <w:tcW w:w="1121" w:type="dxa"/>
            <w:tcBorders>
              <w:top w:val="single" w:color="auto" w:sz="4" w:space="0"/>
              <w:left w:val="nil"/>
              <w:bottom w:val="single" w:color="auto" w:sz="4" w:space="0"/>
              <w:right w:val="nil"/>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扣分</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9" w:hRule="atLeast"/>
        </w:trPr>
        <w:tc>
          <w:tcPr>
            <w:tcW w:w="899"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竣工结算价</w:t>
            </w:r>
          </w:p>
        </w:tc>
        <w:tc>
          <w:tcPr>
            <w:tcW w:w="98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是否按合同约定编审竣工结算</w:t>
            </w:r>
          </w:p>
        </w:tc>
        <w:tc>
          <w:tcPr>
            <w:tcW w:w="422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结算价是否依据施工合同约定（包括施工合同文本及补充协议、中标文件等</w:t>
            </w:r>
            <w:r>
              <w:rPr>
                <w:rFonts w:ascii="宋体" w:hAnsi="宋体" w:cs="宋体"/>
                <w:color w:val="000000" w:themeColor="text1"/>
                <w:kern w:val="0"/>
                <w:sz w:val="20"/>
                <w:szCs w:val="20"/>
              </w:rPr>
              <w:t>）</w:t>
            </w:r>
            <w:r>
              <w:rPr>
                <w:rFonts w:hint="eastAsia" w:ascii="宋体" w:hAnsi="宋体" w:cs="宋体"/>
                <w:color w:val="000000" w:themeColor="text1"/>
                <w:kern w:val="0"/>
                <w:sz w:val="20"/>
                <w:szCs w:val="20"/>
              </w:rPr>
              <w:t>进行编审</w:t>
            </w:r>
          </w:p>
        </w:tc>
        <w:tc>
          <w:tcPr>
            <w:tcW w:w="6125"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themeColor="text1"/>
                <w:kern w:val="0"/>
                <w:sz w:val="20"/>
                <w:szCs w:val="20"/>
                <w:lang w:eastAsia="zh-CN"/>
              </w:rPr>
            </w:pPr>
            <w:r>
              <w:rPr>
                <w:rFonts w:hint="eastAsia" w:ascii="宋体" w:hAnsi="宋体" w:cs="宋体"/>
                <w:color w:val="000000" w:themeColor="text1"/>
                <w:kern w:val="0"/>
                <w:sz w:val="20"/>
                <w:szCs w:val="20"/>
              </w:rPr>
              <w:t>违反此条该部分</w:t>
            </w:r>
            <w:r>
              <w:rPr>
                <w:rFonts w:hint="eastAsia" w:ascii="宋体" w:hAnsi="宋体" w:cs="宋体"/>
                <w:color w:val="000000" w:themeColor="text1"/>
                <w:kern w:val="0"/>
                <w:sz w:val="20"/>
                <w:szCs w:val="20"/>
                <w:lang w:eastAsia="zh-CN"/>
              </w:rPr>
              <w:t>不得分（共计</w:t>
            </w:r>
            <w:r>
              <w:rPr>
                <w:rFonts w:hint="eastAsia" w:ascii="宋体" w:hAnsi="宋体" w:cs="宋体"/>
                <w:color w:val="000000" w:themeColor="text1"/>
                <w:kern w:val="0"/>
                <w:sz w:val="20"/>
                <w:szCs w:val="20"/>
              </w:rPr>
              <w:t>49分</w:t>
            </w:r>
            <w:r>
              <w:rPr>
                <w:rFonts w:hint="eastAsia" w:ascii="宋体" w:hAnsi="宋体" w:cs="宋体"/>
                <w:color w:val="000000" w:themeColor="text1"/>
                <w:kern w:val="0"/>
                <w:sz w:val="20"/>
                <w:szCs w:val="20"/>
                <w:lang w:eastAsia="zh-CN"/>
              </w:rPr>
              <w:t>）</w:t>
            </w:r>
          </w:p>
        </w:tc>
        <w:tc>
          <w:tcPr>
            <w:tcW w:w="11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9" w:hRule="atLeast"/>
        </w:trPr>
        <w:tc>
          <w:tcPr>
            <w:tcW w:w="89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982"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000000" w:themeColor="text1"/>
                <w:kern w:val="0"/>
                <w:sz w:val="20"/>
                <w:szCs w:val="20"/>
              </w:rPr>
            </w:pPr>
          </w:p>
        </w:tc>
        <w:tc>
          <w:tcPr>
            <w:tcW w:w="422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工程量计算原则是否符合施工合同约定</w:t>
            </w:r>
          </w:p>
        </w:tc>
        <w:tc>
          <w:tcPr>
            <w:tcW w:w="709" w:type="dxa"/>
            <w:tcBorders>
              <w:top w:val="nil"/>
              <w:left w:val="nil"/>
              <w:bottom w:val="single" w:color="auto" w:sz="4" w:space="0"/>
              <w:right w:val="nil"/>
            </w:tcBorders>
            <w:vAlign w:val="center"/>
          </w:tcPr>
          <w:p>
            <w:pPr>
              <w:widowControl/>
              <w:spacing w:line="24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8分</w:t>
            </w:r>
          </w:p>
        </w:tc>
        <w:tc>
          <w:tcPr>
            <w:tcW w:w="541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发现第一处不符合的扣1分，从第二处开始每处扣0.5分，扣完为止</w:t>
            </w:r>
          </w:p>
        </w:tc>
        <w:tc>
          <w:tcPr>
            <w:tcW w:w="11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p>
        </w:tc>
        <w:tc>
          <w:tcPr>
            <w:tcW w:w="148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trPr>
        <w:tc>
          <w:tcPr>
            <w:tcW w:w="8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98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422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合同单价是否符合施工合同约定</w:t>
            </w:r>
          </w:p>
        </w:tc>
        <w:tc>
          <w:tcPr>
            <w:tcW w:w="709" w:type="dxa"/>
            <w:tcBorders>
              <w:top w:val="nil"/>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8分</w:t>
            </w:r>
          </w:p>
        </w:tc>
        <w:tc>
          <w:tcPr>
            <w:tcW w:w="541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8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98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422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套用的消耗量标准及子目换算是否合理；对于消耗量标准缺项的清单项目组价是否合理</w:t>
            </w:r>
          </w:p>
        </w:tc>
        <w:tc>
          <w:tcPr>
            <w:tcW w:w="709" w:type="dxa"/>
            <w:tcBorders>
              <w:top w:val="nil"/>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8分</w:t>
            </w:r>
          </w:p>
        </w:tc>
        <w:tc>
          <w:tcPr>
            <w:tcW w:w="541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trPr>
        <w:tc>
          <w:tcPr>
            <w:tcW w:w="8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98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422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措施费的计取原则是否符合施工合同约定</w:t>
            </w:r>
          </w:p>
        </w:tc>
        <w:tc>
          <w:tcPr>
            <w:tcW w:w="709" w:type="dxa"/>
            <w:tcBorders>
              <w:top w:val="nil"/>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41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8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98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422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工料机价格确定是否符合施工合同约定</w:t>
            </w:r>
          </w:p>
        </w:tc>
        <w:tc>
          <w:tcPr>
            <w:tcW w:w="709" w:type="dxa"/>
            <w:tcBorders>
              <w:top w:val="nil"/>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41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trPr>
        <w:tc>
          <w:tcPr>
            <w:tcW w:w="8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98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42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下浮比例是否符合施工合同约定</w:t>
            </w:r>
          </w:p>
        </w:tc>
        <w:tc>
          <w:tcPr>
            <w:tcW w:w="70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416"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trPr>
        <w:tc>
          <w:tcPr>
            <w:tcW w:w="8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98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42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取费费率是否符合施工合同约定</w:t>
            </w:r>
          </w:p>
        </w:tc>
        <w:tc>
          <w:tcPr>
            <w:tcW w:w="709" w:type="dxa"/>
            <w:tcBorders>
              <w:top w:val="nil"/>
              <w:left w:val="single" w:color="auto" w:sz="4" w:space="0"/>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41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发现第一处不按规定的扣1分，从第二处开始每处扣1分，扣完为止</w:t>
            </w:r>
          </w:p>
        </w:tc>
        <w:tc>
          <w:tcPr>
            <w:tcW w:w="11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8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98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422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材料价差调整是否符合施工合同约定</w:t>
            </w:r>
          </w:p>
        </w:tc>
        <w:tc>
          <w:tcPr>
            <w:tcW w:w="709" w:type="dxa"/>
            <w:tcBorders>
              <w:top w:val="nil"/>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41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trPr>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p>
        </w:tc>
        <w:tc>
          <w:tcPr>
            <w:tcW w:w="5203" w:type="dxa"/>
            <w:gridSpan w:val="2"/>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工期、工程索赔的计价不合理或缺乏相应的证据支持的</w:t>
            </w:r>
          </w:p>
        </w:tc>
        <w:tc>
          <w:tcPr>
            <w:tcW w:w="709" w:type="dxa"/>
            <w:tcBorders>
              <w:top w:val="nil"/>
              <w:left w:val="nil"/>
              <w:bottom w:val="single" w:color="auto" w:sz="4" w:space="0"/>
              <w:right w:val="nil"/>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3分</w:t>
            </w:r>
          </w:p>
        </w:tc>
        <w:tc>
          <w:tcPr>
            <w:tcW w:w="541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21" w:type="dxa"/>
            <w:tcBorders>
              <w:top w:val="nil"/>
              <w:left w:val="nil"/>
              <w:bottom w:val="single" w:color="auto" w:sz="4" w:space="0"/>
              <w:right w:val="nil"/>
            </w:tcBorders>
            <w:shd w:val="clear" w:color="000000" w:fill="FFFFFF"/>
            <w:vAlign w:val="center"/>
          </w:tcPr>
          <w:p>
            <w:pPr>
              <w:widowControl/>
              <w:spacing w:line="240" w:lineRule="exact"/>
              <w:jc w:val="left"/>
              <w:rPr>
                <w:rFonts w:ascii="宋体" w:hAnsi="宋体" w:cs="宋体"/>
                <w:kern w:val="0"/>
                <w:sz w:val="20"/>
                <w:szCs w:val="20"/>
              </w:rPr>
            </w:pPr>
          </w:p>
        </w:tc>
        <w:tc>
          <w:tcPr>
            <w:tcW w:w="1483"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trPr>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p>
        </w:tc>
        <w:tc>
          <w:tcPr>
            <w:tcW w:w="5203" w:type="dxa"/>
            <w:gridSpan w:val="2"/>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设计变更、工程签证的手续是否完备</w:t>
            </w:r>
          </w:p>
        </w:tc>
        <w:tc>
          <w:tcPr>
            <w:tcW w:w="709" w:type="dxa"/>
            <w:tcBorders>
              <w:top w:val="nil"/>
              <w:left w:val="nil"/>
              <w:bottom w:val="single" w:color="auto" w:sz="4" w:space="0"/>
              <w:right w:val="nil"/>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3分</w:t>
            </w:r>
          </w:p>
        </w:tc>
        <w:tc>
          <w:tcPr>
            <w:tcW w:w="541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21" w:type="dxa"/>
            <w:tcBorders>
              <w:top w:val="nil"/>
              <w:left w:val="nil"/>
              <w:bottom w:val="single" w:color="auto" w:sz="4" w:space="0"/>
              <w:right w:val="nil"/>
            </w:tcBorders>
            <w:shd w:val="clear" w:color="000000" w:fill="FFFFFF"/>
            <w:vAlign w:val="center"/>
          </w:tcPr>
          <w:p>
            <w:pPr>
              <w:widowControl/>
              <w:spacing w:line="240" w:lineRule="exact"/>
              <w:jc w:val="left"/>
              <w:rPr>
                <w:rFonts w:ascii="宋体" w:hAnsi="宋体" w:cs="宋体"/>
                <w:kern w:val="0"/>
                <w:sz w:val="20"/>
                <w:szCs w:val="20"/>
              </w:rPr>
            </w:pPr>
          </w:p>
        </w:tc>
        <w:tc>
          <w:tcPr>
            <w:tcW w:w="1483"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trPr>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p>
        </w:tc>
        <w:tc>
          <w:tcPr>
            <w:tcW w:w="5203" w:type="dxa"/>
            <w:gridSpan w:val="2"/>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是否有送审与审核对比表</w:t>
            </w:r>
          </w:p>
        </w:tc>
        <w:tc>
          <w:tcPr>
            <w:tcW w:w="709" w:type="dxa"/>
            <w:tcBorders>
              <w:top w:val="nil"/>
              <w:left w:val="nil"/>
              <w:bottom w:val="single" w:color="auto" w:sz="4" w:space="0"/>
              <w:right w:val="nil"/>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2分</w:t>
            </w:r>
          </w:p>
        </w:tc>
        <w:tc>
          <w:tcPr>
            <w:tcW w:w="541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没有做对比表的扣2分</w:t>
            </w:r>
          </w:p>
        </w:tc>
        <w:tc>
          <w:tcPr>
            <w:tcW w:w="1121" w:type="dxa"/>
            <w:tcBorders>
              <w:top w:val="nil"/>
              <w:left w:val="nil"/>
              <w:bottom w:val="single" w:color="auto" w:sz="4" w:space="0"/>
              <w:right w:val="nil"/>
            </w:tcBorders>
            <w:shd w:val="clear" w:color="000000" w:fill="FFFFFF"/>
            <w:vAlign w:val="center"/>
          </w:tcPr>
          <w:p>
            <w:pPr>
              <w:widowControl/>
              <w:spacing w:line="240" w:lineRule="exact"/>
              <w:jc w:val="left"/>
              <w:rPr>
                <w:rFonts w:ascii="宋体" w:hAnsi="宋体" w:cs="宋体"/>
                <w:kern w:val="0"/>
                <w:sz w:val="20"/>
                <w:szCs w:val="20"/>
              </w:rPr>
            </w:pPr>
          </w:p>
        </w:tc>
        <w:tc>
          <w:tcPr>
            <w:tcW w:w="1483"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trPr>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p>
        </w:tc>
        <w:tc>
          <w:tcPr>
            <w:tcW w:w="5203" w:type="dxa"/>
            <w:gridSpan w:val="2"/>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审价报告没有说明主要增减原因和存在问题的</w:t>
            </w:r>
          </w:p>
        </w:tc>
        <w:tc>
          <w:tcPr>
            <w:tcW w:w="709" w:type="dxa"/>
            <w:tcBorders>
              <w:top w:val="nil"/>
              <w:left w:val="nil"/>
              <w:bottom w:val="single" w:color="auto" w:sz="4" w:space="0"/>
              <w:right w:val="nil"/>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3分</w:t>
            </w:r>
          </w:p>
        </w:tc>
        <w:tc>
          <w:tcPr>
            <w:tcW w:w="541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21" w:type="dxa"/>
            <w:tcBorders>
              <w:top w:val="nil"/>
              <w:left w:val="nil"/>
              <w:bottom w:val="single" w:color="auto" w:sz="4" w:space="0"/>
              <w:right w:val="nil"/>
            </w:tcBorders>
            <w:shd w:val="clear" w:color="000000" w:fill="FFFFFF"/>
            <w:vAlign w:val="center"/>
          </w:tcPr>
          <w:p>
            <w:pPr>
              <w:widowControl/>
              <w:spacing w:line="240" w:lineRule="exact"/>
              <w:jc w:val="left"/>
              <w:rPr>
                <w:rFonts w:ascii="宋体" w:hAnsi="宋体" w:cs="宋体"/>
                <w:kern w:val="0"/>
                <w:sz w:val="20"/>
                <w:szCs w:val="20"/>
              </w:rPr>
            </w:pPr>
          </w:p>
        </w:tc>
        <w:tc>
          <w:tcPr>
            <w:tcW w:w="1483"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8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终结</w:t>
            </w:r>
          </w:p>
          <w:p>
            <w:pPr>
              <w:widowControl/>
              <w:spacing w:line="240" w:lineRule="exact"/>
              <w:jc w:val="center"/>
              <w:rPr>
                <w:rFonts w:ascii="宋体" w:hAnsi="宋体" w:cs="宋体"/>
                <w:kern w:val="0"/>
                <w:sz w:val="20"/>
                <w:szCs w:val="20"/>
              </w:rPr>
            </w:pPr>
            <w:r>
              <w:rPr>
                <w:rFonts w:hint="eastAsia" w:ascii="宋体" w:hAnsi="宋体" w:cs="宋体"/>
                <w:kern w:val="0"/>
                <w:sz w:val="20"/>
                <w:szCs w:val="20"/>
              </w:rPr>
              <w:t>阶段</w:t>
            </w:r>
          </w:p>
          <w:p>
            <w:pPr>
              <w:widowControl/>
              <w:spacing w:line="240" w:lineRule="exact"/>
              <w:jc w:val="center"/>
              <w:rPr>
                <w:rFonts w:ascii="宋体" w:hAnsi="宋体" w:cs="宋体"/>
                <w:kern w:val="0"/>
                <w:sz w:val="20"/>
                <w:szCs w:val="20"/>
              </w:rPr>
            </w:pPr>
            <w:r>
              <w:rPr>
                <w:rFonts w:hint="eastAsia" w:ascii="宋体" w:hAnsi="宋体" w:cs="宋体"/>
                <w:kern w:val="0"/>
                <w:sz w:val="20"/>
                <w:szCs w:val="20"/>
              </w:rPr>
              <w:t>（15分）</w:t>
            </w:r>
          </w:p>
        </w:tc>
        <w:tc>
          <w:tcPr>
            <w:tcW w:w="7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成果文件归档</w:t>
            </w:r>
          </w:p>
        </w:tc>
        <w:tc>
          <w:tcPr>
            <w:tcW w:w="5203" w:type="dxa"/>
            <w:gridSpan w:val="2"/>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是否有校核记录</w:t>
            </w:r>
          </w:p>
        </w:tc>
        <w:tc>
          <w:tcPr>
            <w:tcW w:w="709" w:type="dxa"/>
            <w:tcBorders>
              <w:top w:val="single" w:color="auto" w:sz="4" w:space="0"/>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4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没有校核记录扣5分</w:t>
            </w:r>
          </w:p>
        </w:tc>
        <w:tc>
          <w:tcPr>
            <w:tcW w:w="1121" w:type="dxa"/>
            <w:tcBorders>
              <w:top w:val="single" w:color="auto" w:sz="4" w:space="0"/>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520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成果档案文本内容是否完整</w:t>
            </w:r>
          </w:p>
        </w:tc>
        <w:tc>
          <w:tcPr>
            <w:tcW w:w="709" w:type="dxa"/>
            <w:vMerge w:val="restart"/>
            <w:tcBorders>
              <w:top w:val="single" w:color="auto" w:sz="4" w:space="0"/>
              <w:left w:val="single" w:color="auto" w:sz="4" w:space="0"/>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10分</w:t>
            </w:r>
          </w:p>
        </w:tc>
        <w:tc>
          <w:tcPr>
            <w:tcW w:w="54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招标控制价：缺少与最终咨询成果文件相关的招标文件、计算底稿等资料的，每项扣5分</w:t>
            </w:r>
          </w:p>
        </w:tc>
        <w:tc>
          <w:tcPr>
            <w:tcW w:w="1121" w:type="dxa"/>
            <w:tcBorders>
              <w:top w:val="single" w:color="auto" w:sz="4" w:space="0"/>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520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nil"/>
            </w:tcBorders>
            <w:vAlign w:val="center"/>
          </w:tcPr>
          <w:p>
            <w:pPr>
              <w:widowControl/>
              <w:spacing w:line="240" w:lineRule="exact"/>
              <w:jc w:val="center"/>
              <w:rPr>
                <w:rFonts w:ascii="宋体" w:hAnsi="宋体" w:cs="宋体"/>
                <w:kern w:val="0"/>
                <w:sz w:val="20"/>
                <w:szCs w:val="20"/>
              </w:rPr>
            </w:pPr>
          </w:p>
        </w:tc>
        <w:tc>
          <w:tcPr>
            <w:tcW w:w="54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竣工结算：缺少与最终咨询成果文件相关的招标文件、施工合同、工程变更、工程签证、计算底稿等资料的，扣10分</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r>
    </w:tbl>
    <w:p>
      <w:pPr>
        <w:widowControl/>
        <w:jc w:val="left"/>
        <w:rPr>
          <w:rFonts w:ascii="宋体" w:hAnsi="宋体" w:cs="宋体"/>
          <w:bCs/>
          <w:kern w:val="0"/>
          <w:sz w:val="20"/>
          <w:szCs w:val="20"/>
        </w:rPr>
      </w:pPr>
      <w:r>
        <w:rPr>
          <w:rFonts w:hint="eastAsia" w:ascii="宋体" w:hAnsi="宋体" w:cs="宋体"/>
          <w:bCs/>
          <w:kern w:val="0"/>
          <w:sz w:val="20"/>
          <w:szCs w:val="20"/>
        </w:rPr>
        <w:t>注: 执业质量检查分值满分为100分，占检查总分的60%；计价行为检查分值满分100分，占检查总分的40%。总分满60分为合格。</w:t>
      </w:r>
    </w:p>
    <w:p>
      <w:pPr>
        <w:jc w:val="left"/>
        <w:rPr>
          <w:rFonts w:ascii="宋体" w:hAnsi="宋体" w:cs="宋体"/>
          <w:kern w:val="0"/>
          <w:sz w:val="20"/>
          <w:szCs w:val="20"/>
        </w:rPr>
      </w:pPr>
      <w:r>
        <w:rPr>
          <w:rFonts w:hint="eastAsia" w:ascii="宋体" w:hAnsi="宋体" w:cs="宋体"/>
          <w:kern w:val="0"/>
          <w:sz w:val="20"/>
          <w:szCs w:val="20"/>
        </w:rPr>
        <w:t xml:space="preserve">受检企业得分：                     检查人员签字：                          受检企业负责人签字：                         检查时间： </w:t>
      </w:r>
    </w:p>
    <w:p>
      <w:pPr>
        <w:widowControl/>
        <w:jc w:val="left"/>
        <w:rPr>
          <w:rFonts w:ascii="宋体" w:hAnsi="宋体" w:cs="宋体"/>
          <w:bCs/>
          <w:kern w:val="0"/>
          <w:sz w:val="20"/>
          <w:szCs w:val="20"/>
        </w:rPr>
      </w:pPr>
      <w:r>
        <w:rPr>
          <w:rFonts w:hint="eastAsia" w:cs="宋体"/>
          <w:b/>
          <w:szCs w:val="21"/>
        </w:rPr>
        <w:t>附件4-2</w:t>
      </w:r>
    </w:p>
    <w:p>
      <w:pPr>
        <w:widowControl/>
        <w:jc w:val="center"/>
        <w:rPr>
          <w:rFonts w:ascii="宋体" w:hAnsi="宋体" w:cs="宋体"/>
          <w:bCs/>
          <w:kern w:val="0"/>
          <w:sz w:val="40"/>
          <w:szCs w:val="40"/>
        </w:rPr>
      </w:pPr>
      <w:r>
        <w:rPr>
          <w:rFonts w:hint="eastAsia" w:ascii="宋体" w:hAnsi="宋体" w:cs="宋体"/>
          <w:bCs/>
          <w:kern w:val="0"/>
          <w:sz w:val="40"/>
          <w:szCs w:val="40"/>
        </w:rPr>
        <w:t>2018年佛山市工程造价咨询企业</w:t>
      </w:r>
      <w:r>
        <w:rPr>
          <w:rFonts w:hint="eastAsia" w:ascii="宋体" w:hAnsi="宋体" w:cs="宋体"/>
          <w:bCs/>
          <w:color w:val="000000"/>
          <w:kern w:val="0"/>
          <w:sz w:val="40"/>
          <w:szCs w:val="40"/>
        </w:rPr>
        <w:t>执业</w:t>
      </w:r>
      <w:r>
        <w:rPr>
          <w:rFonts w:hint="eastAsia" w:ascii="宋体" w:hAnsi="宋体" w:cs="宋体"/>
          <w:bCs/>
          <w:kern w:val="0"/>
          <w:sz w:val="40"/>
          <w:szCs w:val="40"/>
        </w:rPr>
        <w:t>计价行为检查评分标准及评分记录</w:t>
      </w:r>
    </w:p>
    <w:p>
      <w:pPr>
        <w:widowControl/>
        <w:jc w:val="left"/>
        <w:rPr>
          <w:rFonts w:ascii="宋体" w:hAnsi="宋体" w:cs="宋体"/>
          <w:bCs/>
          <w:kern w:val="0"/>
          <w:sz w:val="40"/>
          <w:szCs w:val="40"/>
        </w:rPr>
      </w:pPr>
      <w:r>
        <w:rPr>
          <w:rFonts w:hint="eastAsia" w:ascii="宋体" w:hAnsi="宋体" w:cs="宋体"/>
          <w:kern w:val="0"/>
          <w:sz w:val="20"/>
          <w:szCs w:val="20"/>
        </w:rPr>
        <w:t xml:space="preserve">工程造价咨询企业名称： </w:t>
      </w:r>
    </w:p>
    <w:tbl>
      <w:tblPr>
        <w:tblStyle w:val="11"/>
        <w:tblW w:w="15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1671"/>
        <w:gridCol w:w="7079"/>
        <w:gridCol w:w="652"/>
        <w:gridCol w:w="3607"/>
        <w:gridCol w:w="1155"/>
        <w:gridCol w:w="1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4"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类别</w:t>
            </w:r>
          </w:p>
        </w:tc>
        <w:tc>
          <w:tcPr>
            <w:tcW w:w="16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考评内容</w:t>
            </w:r>
          </w:p>
        </w:tc>
        <w:tc>
          <w:tcPr>
            <w:tcW w:w="7079" w:type="dxa"/>
            <w:tcBorders>
              <w:top w:val="single" w:color="auto" w:sz="4" w:space="0"/>
              <w:left w:val="nil"/>
              <w:bottom w:val="single" w:color="auto" w:sz="4" w:space="0"/>
              <w:right w:val="single" w:color="000000" w:sz="4" w:space="0"/>
            </w:tcBorders>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考评标准</w:t>
            </w:r>
          </w:p>
        </w:tc>
        <w:tc>
          <w:tcPr>
            <w:tcW w:w="6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分值</w:t>
            </w:r>
          </w:p>
        </w:tc>
        <w:tc>
          <w:tcPr>
            <w:tcW w:w="36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扣分标准</w:t>
            </w:r>
          </w:p>
        </w:tc>
        <w:tc>
          <w:tcPr>
            <w:tcW w:w="11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核定结果</w:t>
            </w:r>
          </w:p>
        </w:tc>
        <w:tc>
          <w:tcPr>
            <w:tcW w:w="10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2" w:hRule="atLeast"/>
        </w:trPr>
        <w:tc>
          <w:tcPr>
            <w:tcW w:w="70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企业管理</w:t>
            </w:r>
          </w:p>
        </w:tc>
        <w:tc>
          <w:tcPr>
            <w:tcW w:w="1671"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信息诚信申报</w:t>
            </w: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在本市范围内从业的造价咨询企业是否在市诚信系统办理企业与人员信息诚信申报</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未办理扣10分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tcBorders>
              <w:top w:val="nil"/>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资质证书变更</w:t>
            </w: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企业名称、办公地址、组织形式、法人、技术负责人、注册资本等变更后是否及时在诚信系统登记变更</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一项未及时办理变更手续扣2分，扣完为止</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8" w:hRule="exac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资质延续</w:t>
            </w: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是否存在造价咨询资质有效期届满，未申请延续而继续从业的情况</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存在扣10分（企业提供申请资质延续或升级回执的不扣分）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专职专业人员</w:t>
            </w: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专职专业人员、中级以上职称人员和造价工程师人员总数，是否符合《工程造价咨询企业管理办法》规定要求，市外造价咨询企业人员进入本市执业是否满足《诚信管理办法》规定要求</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不符合规定扣10分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8"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tcBorders>
              <w:top w:val="single" w:color="auto" w:sz="4" w:space="0"/>
              <w:left w:val="nil"/>
              <w:right w:val="single" w:color="auto" w:sz="4" w:space="0"/>
            </w:tcBorders>
            <w:shd w:val="clear" w:color="000000" w:fill="FFFFFF"/>
            <w:vAlign w:val="center"/>
          </w:tcPr>
          <w:p>
            <w:pPr>
              <w:spacing w:line="240" w:lineRule="exact"/>
              <w:jc w:val="center"/>
              <w:rPr>
                <w:rFonts w:ascii="宋体" w:hAnsi="宋体" w:cs="宋体"/>
                <w:kern w:val="0"/>
                <w:sz w:val="20"/>
                <w:szCs w:val="20"/>
              </w:rPr>
            </w:pPr>
            <w:r>
              <w:rPr>
                <w:rFonts w:hint="eastAsia" w:ascii="宋体" w:hAnsi="宋体" w:cs="宋体"/>
                <w:kern w:val="0"/>
                <w:sz w:val="20"/>
                <w:szCs w:val="20"/>
              </w:rPr>
              <w:t>合同签订</w:t>
            </w:r>
          </w:p>
        </w:tc>
        <w:tc>
          <w:tcPr>
            <w:tcW w:w="7079" w:type="dxa"/>
            <w:tcBorders>
              <w:top w:val="single" w:color="auto" w:sz="4" w:space="0"/>
              <w:left w:val="nil"/>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rPr>
              <w:t>签订合同未按要求使用范本，或签订合同时对咨询项目、服务内容、咨询期限、收费额度、成果质量和违约责任无明确约定的</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14</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不符合规定每项扣3分，扣完为止</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vMerge w:val="restart"/>
            <w:tcBorders>
              <w:top w:val="single" w:color="auto" w:sz="4" w:space="0"/>
              <w:left w:val="nil"/>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其他</w:t>
            </w: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是否存在涂改、倒卖、出租、出借资质证书，或以其他形式非法转让资质证书的行为</w:t>
            </w:r>
          </w:p>
        </w:tc>
        <w:tc>
          <w:tcPr>
            <w:tcW w:w="652"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360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存在扣5分</w:t>
            </w:r>
          </w:p>
        </w:tc>
        <w:tc>
          <w:tcPr>
            <w:tcW w:w="1155"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以分支机构名义承接业务、订立合同、出具成果文件的</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不符合规定扣5分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3"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档案管理</w:t>
            </w: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档案管理制度是否建立</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无档案管理制度扣2分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20"/>
                <w:szCs w:val="20"/>
              </w:rPr>
            </w:pP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档案管理是否规范有序</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3分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无档案室扣2分；档案管理不规范，摆放、装订不合理扣1分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4" w:hRule="exact"/>
        </w:trPr>
        <w:tc>
          <w:tcPr>
            <w:tcW w:w="704"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配合执法检查情况</w:t>
            </w:r>
          </w:p>
        </w:tc>
        <w:tc>
          <w:tcPr>
            <w:tcW w:w="1671" w:type="dxa"/>
            <w:vMerge w:val="restart"/>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准备工作</w:t>
            </w: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企业负责人和技术负责人是否到场</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企业负责人未到场扣3分；技术负责人未到场扣3分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4" w:hRule="exact"/>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vMerge w:val="continue"/>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是否按要求准备、提交受检资料</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受检资料不齐全扣2分；未按规定时间提交或提交虚假资料、数据扣5分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exact"/>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其他</w:t>
            </w: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是否存在阻挠或不配合监督检查的行为</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阻挠或不配合检查扣5分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人员管理</w:t>
            </w:r>
          </w:p>
        </w:tc>
        <w:tc>
          <w:tcPr>
            <w:tcW w:w="167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注册造价工程师</w:t>
            </w:r>
            <w:r>
              <w:rPr>
                <w:rFonts w:hint="eastAsia" w:ascii="宋体" w:hAnsi="宋体" w:cs="宋体"/>
                <w:kern w:val="0"/>
                <w:sz w:val="20"/>
                <w:szCs w:val="20"/>
              </w:rPr>
              <w:br w:type="textWrapping"/>
            </w:r>
            <w:r>
              <w:rPr>
                <w:rFonts w:hint="eastAsia" w:ascii="宋体" w:hAnsi="宋体" w:cs="宋体"/>
                <w:kern w:val="0"/>
                <w:sz w:val="20"/>
                <w:szCs w:val="20"/>
              </w:rPr>
              <w:t>执业行为</w:t>
            </w: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成果文件的编制或核审人员是否已在市诚信系统（或造价监管系统）登记</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存在一个扣2分，扣完为止</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exact"/>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20"/>
                <w:szCs w:val="20"/>
              </w:rPr>
            </w:pP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抽查成果文件签字盖章人员是否存在代签现象</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存在扣5分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exact"/>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20"/>
                <w:szCs w:val="20"/>
              </w:rPr>
            </w:pP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是否存在违反注册造价工程师执业行为规范的其他行为</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存在一个扣2分，扣完为止</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　</w:t>
            </w:r>
          </w:p>
        </w:tc>
      </w:tr>
    </w:tbl>
    <w:p>
      <w:pPr>
        <w:widowControl/>
        <w:jc w:val="left"/>
        <w:rPr>
          <w:rFonts w:ascii="宋体" w:hAnsi="宋体" w:cs="宋体"/>
          <w:bCs/>
          <w:kern w:val="0"/>
          <w:sz w:val="20"/>
          <w:szCs w:val="20"/>
        </w:rPr>
      </w:pPr>
      <w:r>
        <w:rPr>
          <w:rFonts w:hint="eastAsia" w:ascii="宋体" w:hAnsi="宋体" w:cs="宋体"/>
          <w:bCs/>
          <w:kern w:val="0"/>
          <w:sz w:val="20"/>
          <w:szCs w:val="20"/>
        </w:rPr>
        <w:t>注:执业质量检查分值满分为100分，占检查总分的60%；计价行为检查分值满分100分，占检查总分的40%。总分满60分为合格。</w:t>
      </w:r>
    </w:p>
    <w:p>
      <w:pPr>
        <w:jc w:val="left"/>
        <w:rPr>
          <w:rFonts w:ascii="宋体" w:hAnsi="宋体" w:cs="宋体"/>
          <w:kern w:val="0"/>
          <w:sz w:val="20"/>
          <w:szCs w:val="20"/>
        </w:rPr>
      </w:pPr>
      <w:r>
        <w:rPr>
          <w:rFonts w:hint="eastAsia" w:ascii="宋体" w:hAnsi="宋体" w:cs="宋体"/>
          <w:kern w:val="0"/>
          <w:sz w:val="20"/>
          <w:szCs w:val="20"/>
        </w:rPr>
        <w:t xml:space="preserve">受检企业得分：                     检查人员签字：                          受检企业负责人签字：                         检查时间： </w:t>
      </w:r>
    </w:p>
    <w:sectPr>
      <w:footerReference r:id="rId3" w:type="default"/>
      <w:pgSz w:w="16838" w:h="11906" w:orient="landscape"/>
      <w:pgMar w:top="454" w:right="567" w:bottom="567" w:left="45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FB6A15"/>
    <w:rsid w:val="00055CA1"/>
    <w:rsid w:val="000A0D0B"/>
    <w:rsid w:val="0011406A"/>
    <w:rsid w:val="001168F2"/>
    <w:rsid w:val="0025759D"/>
    <w:rsid w:val="002752F1"/>
    <w:rsid w:val="002B1503"/>
    <w:rsid w:val="00561277"/>
    <w:rsid w:val="005C2949"/>
    <w:rsid w:val="005E3DED"/>
    <w:rsid w:val="005E3E2D"/>
    <w:rsid w:val="006873CA"/>
    <w:rsid w:val="00776CD8"/>
    <w:rsid w:val="007D10E8"/>
    <w:rsid w:val="008674AA"/>
    <w:rsid w:val="008B7901"/>
    <w:rsid w:val="008D7578"/>
    <w:rsid w:val="0091678B"/>
    <w:rsid w:val="009842BD"/>
    <w:rsid w:val="00A0398F"/>
    <w:rsid w:val="00AA5312"/>
    <w:rsid w:val="00B259C9"/>
    <w:rsid w:val="00B3231F"/>
    <w:rsid w:val="00B8555B"/>
    <w:rsid w:val="00BF5D7A"/>
    <w:rsid w:val="00C7361F"/>
    <w:rsid w:val="00CE1B84"/>
    <w:rsid w:val="00D1000F"/>
    <w:rsid w:val="00D1424B"/>
    <w:rsid w:val="00D34CC0"/>
    <w:rsid w:val="00D661AB"/>
    <w:rsid w:val="00DA3B90"/>
    <w:rsid w:val="00DA7757"/>
    <w:rsid w:val="00DB59B5"/>
    <w:rsid w:val="00DF6466"/>
    <w:rsid w:val="00E15D64"/>
    <w:rsid w:val="00E22420"/>
    <w:rsid w:val="00E52380"/>
    <w:rsid w:val="00E55D62"/>
    <w:rsid w:val="00EB75F1"/>
    <w:rsid w:val="00F42289"/>
    <w:rsid w:val="00FA544E"/>
    <w:rsid w:val="00FB6A15"/>
    <w:rsid w:val="00FC1511"/>
    <w:rsid w:val="013F49B5"/>
    <w:rsid w:val="077D688F"/>
    <w:rsid w:val="0808251C"/>
    <w:rsid w:val="09F21263"/>
    <w:rsid w:val="0AFC5EC6"/>
    <w:rsid w:val="0B2D6B18"/>
    <w:rsid w:val="0F8622D7"/>
    <w:rsid w:val="13FF558B"/>
    <w:rsid w:val="1B7A3860"/>
    <w:rsid w:val="1C114364"/>
    <w:rsid w:val="1D39426A"/>
    <w:rsid w:val="254D7570"/>
    <w:rsid w:val="269D71CF"/>
    <w:rsid w:val="26ED592A"/>
    <w:rsid w:val="288511E5"/>
    <w:rsid w:val="2983152E"/>
    <w:rsid w:val="2B632C5C"/>
    <w:rsid w:val="2D834D3A"/>
    <w:rsid w:val="2DF06D15"/>
    <w:rsid w:val="2DFE7910"/>
    <w:rsid w:val="315304A5"/>
    <w:rsid w:val="326C13F6"/>
    <w:rsid w:val="3FFD6B0D"/>
    <w:rsid w:val="427844DE"/>
    <w:rsid w:val="43F45705"/>
    <w:rsid w:val="469E0768"/>
    <w:rsid w:val="487E7BAE"/>
    <w:rsid w:val="48CF553D"/>
    <w:rsid w:val="4BCF1FED"/>
    <w:rsid w:val="4BE95C87"/>
    <w:rsid w:val="4DB967D3"/>
    <w:rsid w:val="50032E9C"/>
    <w:rsid w:val="51933BFF"/>
    <w:rsid w:val="52CD7F70"/>
    <w:rsid w:val="543D59C1"/>
    <w:rsid w:val="55A739CB"/>
    <w:rsid w:val="595B73F5"/>
    <w:rsid w:val="5A914515"/>
    <w:rsid w:val="5AD963F0"/>
    <w:rsid w:val="5F441525"/>
    <w:rsid w:val="63BB6B32"/>
    <w:rsid w:val="6CAC54DC"/>
    <w:rsid w:val="6CEB0091"/>
    <w:rsid w:val="736B5E53"/>
    <w:rsid w:val="74DB24EC"/>
    <w:rsid w:val="7B0965AE"/>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8"/>
    <w:unhideWhenUsed/>
    <w:qFormat/>
    <w:uiPriority w:val="99"/>
    <w:rPr>
      <w:rFonts w:ascii="宋体" w:hAnsi="Times New Roman" w:cs="Times New Roman"/>
      <w:sz w:val="18"/>
      <w:szCs w:val="18"/>
    </w:rPr>
  </w:style>
  <w:style w:type="paragraph" w:styleId="3">
    <w:name w:val="Body Text Indent"/>
    <w:basedOn w:val="1"/>
    <w:link w:val="15"/>
    <w:unhideWhenUsed/>
    <w:qFormat/>
    <w:uiPriority w:val="0"/>
    <w:pPr>
      <w:ind w:firstLine="600" w:firstLineChars="200"/>
    </w:pPr>
    <w:rPr>
      <w:rFonts w:ascii="Times New Roman" w:hAnsi="Times New Roman" w:eastAsia="仿宋_GB2312" w:cs="Times New Roman"/>
      <w:sz w:val="30"/>
      <w:szCs w:val="24"/>
    </w:rPr>
  </w:style>
  <w:style w:type="paragraph" w:styleId="4">
    <w:name w:val="Plain Text"/>
    <w:basedOn w:val="1"/>
    <w:link w:val="19"/>
    <w:unhideWhenUsed/>
    <w:qFormat/>
    <w:uiPriority w:val="0"/>
    <w:rPr>
      <w:rFonts w:ascii="宋体" w:hAnsi="Courier New" w:cs="Courier New"/>
      <w:szCs w:val="21"/>
    </w:rPr>
  </w:style>
  <w:style w:type="paragraph" w:styleId="5">
    <w:name w:val="Date"/>
    <w:basedOn w:val="1"/>
    <w:next w:val="1"/>
    <w:link w:val="16"/>
    <w:unhideWhenUsed/>
    <w:qFormat/>
    <w:uiPriority w:val="99"/>
    <w:pPr>
      <w:ind w:left="100" w:leftChars="2500"/>
    </w:pPr>
    <w:rPr>
      <w:rFonts w:ascii="Times New Roman" w:hAnsi="Times New Roman" w:cs="Times New Roman"/>
      <w:szCs w:val="24"/>
    </w:rPr>
  </w:style>
  <w:style w:type="paragraph" w:styleId="6">
    <w:name w:val="Balloon Text"/>
    <w:basedOn w:val="1"/>
    <w:link w:val="17"/>
    <w:unhideWhenUsed/>
    <w:qFormat/>
    <w:uiPriority w:val="99"/>
    <w:rPr>
      <w:rFonts w:ascii="Times New Roman" w:hAnsi="Times New Roman" w:cs="Times New Roman"/>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unhideWhenUsed/>
    <w:qFormat/>
    <w:uiPriority w:val="99"/>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9"/>
    <w:link w:val="8"/>
    <w:qFormat/>
    <w:uiPriority w:val="99"/>
    <w:rPr>
      <w:sz w:val="18"/>
      <w:szCs w:val="18"/>
    </w:rPr>
  </w:style>
  <w:style w:type="character" w:customStyle="1" w:styleId="14">
    <w:name w:val="页脚 Char"/>
    <w:basedOn w:val="9"/>
    <w:link w:val="7"/>
    <w:qFormat/>
    <w:uiPriority w:val="99"/>
    <w:rPr>
      <w:sz w:val="18"/>
      <w:szCs w:val="18"/>
    </w:rPr>
  </w:style>
  <w:style w:type="character" w:customStyle="1" w:styleId="15">
    <w:name w:val="正文文本缩进 Char"/>
    <w:link w:val="3"/>
    <w:qFormat/>
    <w:uiPriority w:val="0"/>
    <w:rPr>
      <w:rFonts w:ascii="Times New Roman" w:hAnsi="Times New Roman" w:eastAsia="仿宋_GB2312" w:cs="Times New Roman"/>
      <w:sz w:val="30"/>
      <w:szCs w:val="24"/>
    </w:rPr>
  </w:style>
  <w:style w:type="character" w:customStyle="1" w:styleId="16">
    <w:name w:val="日期 Char"/>
    <w:link w:val="5"/>
    <w:qFormat/>
    <w:uiPriority w:val="99"/>
    <w:rPr>
      <w:rFonts w:ascii="Times New Roman" w:hAnsi="Times New Roman" w:eastAsia="宋体" w:cs="Times New Roman"/>
      <w:szCs w:val="24"/>
    </w:rPr>
  </w:style>
  <w:style w:type="character" w:customStyle="1" w:styleId="17">
    <w:name w:val="批注框文本 Char"/>
    <w:link w:val="6"/>
    <w:qFormat/>
    <w:uiPriority w:val="99"/>
    <w:rPr>
      <w:rFonts w:ascii="Times New Roman" w:hAnsi="Times New Roman" w:eastAsia="宋体" w:cs="Times New Roman"/>
      <w:sz w:val="18"/>
      <w:szCs w:val="18"/>
    </w:rPr>
  </w:style>
  <w:style w:type="character" w:customStyle="1" w:styleId="18">
    <w:name w:val="文档结构图 Char"/>
    <w:link w:val="2"/>
    <w:qFormat/>
    <w:uiPriority w:val="99"/>
    <w:rPr>
      <w:rFonts w:ascii="宋体" w:hAnsi="Times New Roman" w:eastAsia="宋体" w:cs="Times New Roman"/>
      <w:sz w:val="18"/>
      <w:szCs w:val="18"/>
    </w:rPr>
  </w:style>
  <w:style w:type="character" w:customStyle="1" w:styleId="19">
    <w:name w:val="纯文本 Char"/>
    <w:link w:val="4"/>
    <w:qFormat/>
    <w:uiPriority w:val="0"/>
    <w:rPr>
      <w:rFonts w:ascii="宋体" w:hAnsi="Courier New" w:eastAsia="宋体" w:cs="Courier New"/>
      <w:szCs w:val="21"/>
    </w:rPr>
  </w:style>
  <w:style w:type="character" w:customStyle="1" w:styleId="20">
    <w:name w:val="文档结构图 Char1"/>
    <w:basedOn w:val="9"/>
    <w:semiHidden/>
    <w:qFormat/>
    <w:uiPriority w:val="99"/>
    <w:rPr>
      <w:rFonts w:ascii="宋体" w:eastAsia="宋体"/>
      <w:sz w:val="18"/>
      <w:szCs w:val="18"/>
    </w:rPr>
  </w:style>
  <w:style w:type="character" w:customStyle="1" w:styleId="21">
    <w:name w:val="日期 Char1"/>
    <w:basedOn w:val="9"/>
    <w:semiHidden/>
    <w:qFormat/>
    <w:uiPriority w:val="99"/>
  </w:style>
  <w:style w:type="character" w:customStyle="1" w:styleId="22">
    <w:name w:val="批注框文本 Char1"/>
    <w:basedOn w:val="9"/>
    <w:semiHidden/>
    <w:qFormat/>
    <w:uiPriority w:val="99"/>
    <w:rPr>
      <w:sz w:val="18"/>
      <w:szCs w:val="18"/>
    </w:rPr>
  </w:style>
  <w:style w:type="character" w:customStyle="1" w:styleId="23">
    <w:name w:val="正文文本缩进 Char1"/>
    <w:basedOn w:val="9"/>
    <w:semiHidden/>
    <w:qFormat/>
    <w:uiPriority w:val="99"/>
  </w:style>
  <w:style w:type="character" w:customStyle="1" w:styleId="24">
    <w:name w:val="纯文本 Char1"/>
    <w:basedOn w:val="9"/>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Pages>
  <Words>490</Words>
  <Characters>2798</Characters>
  <Lines>23</Lines>
  <Paragraphs>6</Paragraphs>
  <TotalTime>0</TotalTime>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2018-09-24T01:50:00Z</dcterms:created>
  <dc:creator>沈蕾</dc:creator>
  <cp:lastModifiedBy>李友良</cp:lastModifiedBy>
  <cp:lastPrinted>2018-09-25T08:35:00Z</cp:lastPrinted>
  <dcterms:modified xsi:type="dcterms:W3CDTF">2018-09-25T08:35:05Z</dcterms:modified>
  <dc:title>附件4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